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F2" w:rsidRPr="004819C2" w:rsidRDefault="00511FBC" w:rsidP="001A77F2">
      <w:pPr>
        <w:pStyle w:val="Normlnywebov"/>
        <w:spacing w:before="0" w:beforeAutospacing="0" w:after="160" w:afterAutospacing="0"/>
        <w:jc w:val="center"/>
        <w:outlineLvl w:val="0"/>
        <w:rPr>
          <w:lang w:val="sk-SK"/>
        </w:rPr>
      </w:pPr>
      <w:r w:rsidRPr="004819C2">
        <w:rPr>
          <w:lang w:val="sk-SK"/>
        </w:rPr>
        <w:t>Pracovná skupina pre víno, 13</w:t>
      </w:r>
      <w:r w:rsidR="001A77F2" w:rsidRPr="004819C2">
        <w:rPr>
          <w:lang w:val="sk-SK"/>
        </w:rPr>
        <w:t xml:space="preserve">. </w:t>
      </w:r>
      <w:r w:rsidRPr="004819C2">
        <w:rPr>
          <w:lang w:val="sk-SK"/>
        </w:rPr>
        <w:t>mája 2019</w:t>
      </w:r>
      <w:r w:rsidR="001A77F2" w:rsidRPr="004819C2">
        <w:rPr>
          <w:lang w:val="sk-SK"/>
        </w:rPr>
        <w:t xml:space="preserve">  </w:t>
      </w:r>
    </w:p>
    <w:p w:rsidR="001A77F2" w:rsidRPr="004819C2" w:rsidRDefault="001A77F2" w:rsidP="001A77F2">
      <w:pPr>
        <w:pStyle w:val="Normlnywebov"/>
        <w:spacing w:before="0" w:beforeAutospacing="0" w:after="160" w:afterAutospacing="0"/>
        <w:ind w:left="284"/>
        <w:jc w:val="both"/>
        <w:outlineLvl w:val="0"/>
        <w:rPr>
          <w:b/>
          <w:bCs/>
          <w:color w:val="000000"/>
          <w:lang w:val="sk-SK"/>
        </w:rPr>
      </w:pPr>
      <w:r w:rsidRPr="004819C2">
        <w:rPr>
          <w:b/>
          <w:bCs/>
          <w:color w:val="000000"/>
          <w:lang w:val="sk-SK"/>
        </w:rPr>
        <w:t>Zhrnutie správy zo zasadnutia:</w:t>
      </w:r>
    </w:p>
    <w:p w:rsidR="00511FBC" w:rsidRPr="004819C2" w:rsidRDefault="00511FBC" w:rsidP="00511FBC">
      <w:pPr>
        <w:pStyle w:val="Normlnywebov"/>
        <w:widowControl w:val="0"/>
        <w:spacing w:before="0" w:beforeAutospacing="0" w:after="160" w:afterAutospacing="0"/>
        <w:ind w:left="284"/>
        <w:jc w:val="both"/>
        <w:outlineLvl w:val="0"/>
        <w:rPr>
          <w:bCs/>
          <w:color w:val="000000"/>
          <w:lang w:val="sk-SK"/>
        </w:rPr>
      </w:pPr>
      <w:r w:rsidRPr="004819C2">
        <w:rPr>
          <w:bCs/>
          <w:color w:val="000000"/>
          <w:lang w:val="sk-SK"/>
        </w:rPr>
        <w:t xml:space="preserve">Predsedá Thierry Coste (FR). </w:t>
      </w:r>
    </w:p>
    <w:p w:rsidR="00511FBC" w:rsidRPr="004819C2" w:rsidRDefault="00511FBC" w:rsidP="00511FBC">
      <w:pPr>
        <w:pStyle w:val="Normlnywebov"/>
        <w:widowControl w:val="0"/>
        <w:spacing w:before="0" w:beforeAutospacing="0" w:after="160" w:afterAutospacing="0"/>
        <w:ind w:left="284"/>
        <w:jc w:val="both"/>
        <w:outlineLvl w:val="0"/>
        <w:rPr>
          <w:bCs/>
          <w:color w:val="000000"/>
          <w:lang w:val="sk-SK"/>
        </w:rPr>
      </w:pPr>
      <w:r w:rsidRPr="004819C2">
        <w:rPr>
          <w:bCs/>
          <w:color w:val="000000"/>
          <w:lang w:val="sk-SK"/>
        </w:rPr>
        <w:t>Voľba nového</w:t>
      </w:r>
      <w:r w:rsidR="00AA2D65" w:rsidRPr="004819C2">
        <w:rPr>
          <w:bCs/>
          <w:color w:val="000000"/>
          <w:lang w:val="sk-SK"/>
        </w:rPr>
        <w:t xml:space="preserve"> predsedníctva skupiny CDG prebehne 5. novembra 2019, terajšia štruktúra skupín CDG bude platiť do roku 2021.</w:t>
      </w:r>
    </w:p>
    <w:p w:rsidR="001A77F2" w:rsidRPr="004819C2" w:rsidRDefault="00AA2D65" w:rsidP="001A77F2">
      <w:pPr>
        <w:ind w:left="284"/>
        <w:jc w:val="both"/>
        <w:rPr>
          <w:b/>
          <w:bCs/>
          <w:color w:val="000000"/>
          <w:lang w:val="sk-SK"/>
        </w:rPr>
      </w:pPr>
      <w:r w:rsidRPr="004819C2">
        <w:rPr>
          <w:b/>
          <w:bCs/>
          <w:color w:val="000000"/>
          <w:lang w:val="sk-SK"/>
        </w:rPr>
        <w:t>Okrúhly stôl o situácii na trhu pre zajtrajšiu skupinu CDG</w:t>
      </w:r>
    </w:p>
    <w:p w:rsidR="001A77F2" w:rsidRPr="004819C2" w:rsidRDefault="00AA2D65" w:rsidP="001A77F2">
      <w:pPr>
        <w:ind w:left="284"/>
        <w:jc w:val="both"/>
        <w:rPr>
          <w:lang w:val="sk-SK"/>
        </w:rPr>
      </w:pPr>
      <w:r w:rsidRPr="004819C2">
        <w:rPr>
          <w:lang w:val="sk-SK"/>
        </w:rPr>
        <w:t>Z globálneho hľadiska bola vlani veľká nadprodukcia vínneho hrozna, trh v EÚ je naviac ovplyvnený produkciou v balkánskych štátoch.</w:t>
      </w:r>
    </w:p>
    <w:p w:rsidR="001A77F2" w:rsidRPr="004819C2" w:rsidRDefault="00AA2D65" w:rsidP="001A77F2">
      <w:pPr>
        <w:ind w:left="284"/>
        <w:jc w:val="both"/>
        <w:rPr>
          <w:u w:val="single"/>
          <w:lang w:val="sk-SK"/>
        </w:rPr>
      </w:pPr>
      <w:r w:rsidRPr="004819C2">
        <w:rPr>
          <w:u w:val="single"/>
          <w:lang w:val="sk-SK"/>
        </w:rPr>
        <w:t>Situácia v členských štátoch:</w:t>
      </w:r>
    </w:p>
    <w:p w:rsidR="00AA2D65" w:rsidRPr="004819C2" w:rsidRDefault="001C6A92" w:rsidP="001A77F2">
      <w:pPr>
        <w:ind w:left="284"/>
        <w:jc w:val="both"/>
        <w:rPr>
          <w:lang w:val="sk-SK"/>
        </w:rPr>
      </w:pPr>
      <w:r w:rsidRPr="004819C2">
        <w:rPr>
          <w:lang w:val="sk-SK"/>
        </w:rPr>
        <w:t xml:space="preserve">Vo FR a </w:t>
      </w:r>
      <w:r w:rsidR="00D33DF4" w:rsidRPr="004819C2">
        <w:rPr>
          <w:lang w:val="sk-SK"/>
        </w:rPr>
        <w:t>NL</w:t>
      </w:r>
      <w:r w:rsidRPr="004819C2">
        <w:rPr>
          <w:lang w:val="sk-SK"/>
        </w:rPr>
        <w:t xml:space="preserve"> </w:t>
      </w:r>
      <w:r w:rsidR="00AA2D65" w:rsidRPr="004819C2">
        <w:rPr>
          <w:lang w:val="sk-SK"/>
        </w:rPr>
        <w:t>niektoré regi</w:t>
      </w:r>
      <w:r w:rsidR="00D33DF4" w:rsidRPr="004819C2">
        <w:rPr>
          <w:lang w:val="sk-SK"/>
        </w:rPr>
        <w:t>óny postihli jarn</w:t>
      </w:r>
      <w:bookmarkStart w:id="0" w:name="_GoBack"/>
      <w:bookmarkEnd w:id="0"/>
      <w:r w:rsidR="00D33DF4" w:rsidRPr="004819C2">
        <w:rPr>
          <w:lang w:val="sk-SK"/>
        </w:rPr>
        <w:t>é mrazy</w:t>
      </w:r>
      <w:r w:rsidR="00AA2D65" w:rsidRPr="004819C2">
        <w:rPr>
          <w:lang w:val="sk-SK"/>
        </w:rPr>
        <w:t xml:space="preserve">, </w:t>
      </w:r>
      <w:r w:rsidRPr="004819C2">
        <w:rPr>
          <w:lang w:val="sk-SK"/>
        </w:rPr>
        <w:t>vo FR je pozitívna</w:t>
      </w:r>
      <w:r w:rsidR="00AA2D65" w:rsidRPr="004819C2">
        <w:rPr>
          <w:lang w:val="sk-SK"/>
        </w:rPr>
        <w:t xml:space="preserve"> trhová situácia najmä u   ružového vína, zvyšuje sa export do UK a USA.</w:t>
      </w:r>
    </w:p>
    <w:p w:rsidR="00AA2D65" w:rsidRPr="004819C2" w:rsidRDefault="00AA2D65" w:rsidP="001A77F2">
      <w:pPr>
        <w:ind w:left="284"/>
        <w:jc w:val="both"/>
        <w:rPr>
          <w:lang w:val="sk-SK"/>
        </w:rPr>
      </w:pPr>
      <w:r w:rsidRPr="004819C2">
        <w:rPr>
          <w:lang w:val="sk-SK"/>
        </w:rPr>
        <w:t xml:space="preserve">Normálnu situáciu (stabilné ceny, </w:t>
      </w:r>
      <w:r w:rsidR="00D33DF4" w:rsidRPr="004819C2">
        <w:rPr>
          <w:lang w:val="sk-SK"/>
        </w:rPr>
        <w:t xml:space="preserve">dopyt a </w:t>
      </w:r>
      <w:r w:rsidRPr="004819C2">
        <w:rPr>
          <w:lang w:val="sk-SK"/>
        </w:rPr>
        <w:t>podobnú rozlohu) hlásia v ES, DE a AT.</w:t>
      </w:r>
      <w:r w:rsidR="001C6A92" w:rsidRPr="004819C2">
        <w:rPr>
          <w:lang w:val="sk-SK"/>
        </w:rPr>
        <w:t xml:space="preserve">  V GR hlásili minulý rok pokles produkcie</w:t>
      </w:r>
      <w:r w:rsidR="00D33DF4" w:rsidRPr="004819C2">
        <w:rPr>
          <w:lang w:val="sk-SK"/>
        </w:rPr>
        <w:t xml:space="preserve"> o 7%, tohtoročná úroda zatiaľ bez odhadu. V IT minulý rok padli ceny vína, tento rok zatiaľ stabilný, ale ceny ešte stále nízke. Takisto zaznamenávajú znižujúci sa dopyt aj aktuálne zásoby sú nižšie.</w:t>
      </w:r>
    </w:p>
    <w:p w:rsidR="00D33DF4" w:rsidRPr="004819C2" w:rsidRDefault="00D33DF4" w:rsidP="001A77F2">
      <w:pPr>
        <w:ind w:left="284"/>
        <w:jc w:val="both"/>
        <w:rPr>
          <w:lang w:val="sk-SK"/>
        </w:rPr>
      </w:pPr>
    </w:p>
    <w:p w:rsidR="001A77F2" w:rsidRPr="004819C2" w:rsidRDefault="00D33DF4" w:rsidP="001A77F2">
      <w:pPr>
        <w:ind w:left="284"/>
        <w:jc w:val="both"/>
        <w:rPr>
          <w:b/>
          <w:lang w:val="sk-SK"/>
        </w:rPr>
      </w:pPr>
      <w:r w:rsidRPr="004819C2">
        <w:rPr>
          <w:b/>
          <w:lang w:val="sk-SK"/>
        </w:rPr>
        <w:t>Observatórium EÚ pre trh s vínom</w:t>
      </w:r>
    </w:p>
    <w:p w:rsidR="001A77F2" w:rsidRPr="004819C2" w:rsidRDefault="00D33DF4" w:rsidP="001A77F2">
      <w:pPr>
        <w:ind w:left="284"/>
        <w:jc w:val="both"/>
        <w:rPr>
          <w:lang w:val="sk-SK"/>
        </w:rPr>
      </w:pPr>
      <w:r w:rsidRPr="004819C2">
        <w:rPr>
          <w:lang w:val="sk-SK"/>
        </w:rPr>
        <w:t>Copa a Cogeca majú v observat</w:t>
      </w:r>
      <w:r w:rsidR="004B68A8" w:rsidRPr="004819C2">
        <w:rPr>
          <w:lang w:val="sk-SK"/>
        </w:rPr>
        <w:t>óriu vyhradené 4 miesta, nominovaní</w:t>
      </w:r>
      <w:r w:rsidRPr="004819C2">
        <w:rPr>
          <w:lang w:val="sk-SK"/>
        </w:rPr>
        <w:t xml:space="preserve"> na ne boli vysokokvalifikovaní experti z DE, IT, ES a FR. Prvé rokovanie expertov </w:t>
      </w:r>
      <w:r w:rsidR="004B68A8" w:rsidRPr="004819C2">
        <w:rPr>
          <w:lang w:val="sk-SK"/>
        </w:rPr>
        <w:t>sa plánuje na november 2019, dovtedy by všetci štyria mali byť predstavení pracovnej skupine.</w:t>
      </w:r>
    </w:p>
    <w:p w:rsidR="001A77F2" w:rsidRPr="004819C2" w:rsidRDefault="001A77F2" w:rsidP="001A77F2">
      <w:pPr>
        <w:ind w:left="284"/>
        <w:jc w:val="both"/>
        <w:rPr>
          <w:b/>
          <w:lang w:val="sk-SK"/>
        </w:rPr>
      </w:pPr>
    </w:p>
    <w:p w:rsidR="001A77F2" w:rsidRPr="004819C2" w:rsidRDefault="004B68A8" w:rsidP="001A77F2">
      <w:pPr>
        <w:ind w:left="284"/>
        <w:jc w:val="both"/>
        <w:rPr>
          <w:b/>
          <w:lang w:val="sk-SK"/>
        </w:rPr>
      </w:pPr>
      <w:r w:rsidRPr="004819C2">
        <w:rPr>
          <w:b/>
          <w:lang w:val="sk-SK"/>
        </w:rPr>
        <w:t>Ekologická výroba vína (nové delegované akty o používaných látkach a výnimočných postupoch)</w:t>
      </w:r>
    </w:p>
    <w:p w:rsidR="000B27FC" w:rsidRPr="004819C2" w:rsidRDefault="004B68A8" w:rsidP="001A77F2">
      <w:pPr>
        <w:ind w:left="284"/>
        <w:jc w:val="both"/>
        <w:rPr>
          <w:lang w:val="sk-SK"/>
        </w:rPr>
      </w:pPr>
      <w:r w:rsidRPr="004819C2">
        <w:rPr>
          <w:lang w:val="sk-SK"/>
        </w:rPr>
        <w:t>V súvislosti s prípravou vykonávacích a delegovaných aktov týkajúcich sa pravidiel ekologickej výroby Nariadenia Európskeho parlamentu a Rady (EÚ) č. 2018/848 zaslal sekretariát Komisii list s návrhom zaradiť do zoznamu</w:t>
      </w:r>
      <w:r w:rsidR="000B27FC" w:rsidRPr="004819C2">
        <w:rPr>
          <w:lang w:val="sk-SK"/>
        </w:rPr>
        <w:t xml:space="preserve"> povolených látok polyvinylpoly</w:t>
      </w:r>
      <w:r w:rsidRPr="004819C2">
        <w:rPr>
          <w:lang w:val="sk-SK"/>
        </w:rPr>
        <w:t>pyrrolidon (PVPP)</w:t>
      </w:r>
      <w:r w:rsidR="000B27FC" w:rsidRPr="004819C2">
        <w:rPr>
          <w:lang w:val="sk-SK"/>
        </w:rPr>
        <w:t xml:space="preserve"> ako alternatívu za enologické aktívne uhlie, malolaktické baktérie a pektolytické enzýmy.</w:t>
      </w:r>
    </w:p>
    <w:p w:rsidR="000B27FC" w:rsidRPr="004819C2" w:rsidRDefault="000B27FC" w:rsidP="001A77F2">
      <w:pPr>
        <w:ind w:left="284"/>
        <w:jc w:val="both"/>
        <w:rPr>
          <w:lang w:val="sk-SK"/>
        </w:rPr>
      </w:pPr>
    </w:p>
    <w:p w:rsidR="003775D5" w:rsidRPr="004819C2" w:rsidRDefault="000B27FC" w:rsidP="003775D5">
      <w:pPr>
        <w:ind w:left="284"/>
        <w:jc w:val="both"/>
        <w:rPr>
          <w:lang w:val="sk-SK"/>
        </w:rPr>
      </w:pPr>
      <w:r w:rsidRPr="004819C2">
        <w:rPr>
          <w:b/>
          <w:lang w:val="sk-SK"/>
        </w:rPr>
        <w:t>Aktuálne informácie o SPP</w:t>
      </w:r>
      <w:r w:rsidRPr="004819C2">
        <w:rPr>
          <w:lang w:val="sk-SK"/>
        </w:rPr>
        <w:t xml:space="preserve"> </w:t>
      </w:r>
    </w:p>
    <w:p w:rsidR="000A3BFD" w:rsidRPr="004819C2" w:rsidRDefault="003775D5" w:rsidP="003775D5">
      <w:pPr>
        <w:ind w:left="284"/>
        <w:jc w:val="both"/>
        <w:rPr>
          <w:lang w:val="sk-SK"/>
        </w:rPr>
      </w:pPr>
      <w:r w:rsidRPr="004819C2">
        <w:rPr>
          <w:lang w:val="sk-SK"/>
        </w:rPr>
        <w:t xml:space="preserve">Sekretariát stručne informoval o troch správach k SPP, kvôli nadchádzajúcim eurovoľbám bude proces rokovania pokračovať až na jeseň 2019. </w:t>
      </w:r>
      <w:r w:rsidR="000A3BFD" w:rsidRPr="004819C2">
        <w:rPr>
          <w:lang w:val="sk-SK"/>
        </w:rPr>
        <w:t xml:space="preserve"> </w:t>
      </w:r>
    </w:p>
    <w:p w:rsidR="000A3BFD" w:rsidRPr="004819C2" w:rsidRDefault="000A3BFD" w:rsidP="003775D5">
      <w:pPr>
        <w:ind w:left="284"/>
        <w:jc w:val="both"/>
        <w:rPr>
          <w:lang w:val="sk-SK"/>
        </w:rPr>
      </w:pPr>
      <w:r w:rsidRPr="004819C2">
        <w:rPr>
          <w:lang w:val="sk-SK"/>
        </w:rPr>
        <w:t>Mandát v eurovoľbách už asi neobháji Ester Herranz García (EPP, ES), očakáva sa aj nárast frakcie zelených, preto sekretariát plánuje usporiadať seminár pre nových europoslancov a ich asistentov s cieľom bližšie im predstaviť vinársky sektor. Myšlienku seminára podporili GR, ES, PT. DE, PT, NL a ES podporujú aj myšlienku vypracovania stručného</w:t>
      </w:r>
      <w:r w:rsidR="00C96BFB" w:rsidRPr="004819C2">
        <w:rPr>
          <w:lang w:val="sk-SK"/>
        </w:rPr>
        <w:t xml:space="preserve">, ale dôrazného </w:t>
      </w:r>
      <w:r w:rsidRPr="004819C2">
        <w:rPr>
          <w:lang w:val="sk-SK"/>
        </w:rPr>
        <w:t xml:space="preserve"> dokumentu</w:t>
      </w:r>
      <w:r w:rsidR="00C96BFB" w:rsidRPr="004819C2">
        <w:rPr>
          <w:lang w:val="sk-SK"/>
        </w:rPr>
        <w:t xml:space="preserve"> pre nových europoslancov.</w:t>
      </w:r>
    </w:p>
    <w:p w:rsidR="001A77F2" w:rsidRPr="004819C2" w:rsidRDefault="00C96BFB" w:rsidP="002F3BF9">
      <w:pPr>
        <w:ind w:left="284"/>
        <w:jc w:val="both"/>
        <w:rPr>
          <w:lang w:val="sk-SK"/>
        </w:rPr>
      </w:pPr>
      <w:r w:rsidRPr="004819C2">
        <w:rPr>
          <w:lang w:val="sk-SK"/>
        </w:rPr>
        <w:t xml:space="preserve">Európska komisia zadala vypracovanie štúdie nezávislého hodnotenia opatrení SPP platných pre odvetvie vína. Štúdia bola publikovaná 2. apríla 2019, verejná konzultácia k správe je prístupná do 30. mája 2019.  </w:t>
      </w:r>
    </w:p>
    <w:p w:rsidR="002F3BF9" w:rsidRPr="004819C2" w:rsidRDefault="002F3BF9" w:rsidP="00C96BFB">
      <w:pPr>
        <w:ind w:left="180"/>
        <w:jc w:val="both"/>
        <w:rPr>
          <w:lang w:val="sk-SK"/>
        </w:rPr>
      </w:pPr>
    </w:p>
    <w:p w:rsidR="002F3BF9" w:rsidRPr="004819C2" w:rsidRDefault="002F3BF9" w:rsidP="00C96BFB">
      <w:pPr>
        <w:ind w:left="180"/>
        <w:jc w:val="both"/>
        <w:rPr>
          <w:lang w:val="sk-SK"/>
        </w:rPr>
      </w:pPr>
    </w:p>
    <w:p w:rsidR="002F3BF9" w:rsidRPr="004819C2" w:rsidRDefault="002F3BF9" w:rsidP="00C96BFB">
      <w:pPr>
        <w:ind w:left="180"/>
        <w:jc w:val="both"/>
        <w:rPr>
          <w:lang w:val="sk-SK"/>
        </w:rPr>
      </w:pPr>
    </w:p>
    <w:p w:rsidR="002F3BF9" w:rsidRPr="004819C2" w:rsidRDefault="00C96BFB" w:rsidP="00C96BFB">
      <w:pPr>
        <w:ind w:left="180"/>
        <w:jc w:val="both"/>
        <w:rPr>
          <w:b/>
          <w:lang w:val="sk-SK"/>
        </w:rPr>
      </w:pPr>
      <w:r w:rsidRPr="004819C2">
        <w:rPr>
          <w:lang w:val="sk-SK"/>
        </w:rPr>
        <w:lastRenderedPageBreak/>
        <w:t xml:space="preserve"> </w:t>
      </w:r>
      <w:r w:rsidRPr="004819C2">
        <w:rPr>
          <w:b/>
          <w:lang w:val="sk-SK"/>
        </w:rPr>
        <w:t>Zlaté žltnutie révy vínnej (Flavescence dorée)</w:t>
      </w:r>
    </w:p>
    <w:p w:rsidR="00A2417F" w:rsidRPr="004819C2" w:rsidRDefault="002F3BF9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O aktuálnom</w:t>
      </w:r>
      <w:r w:rsidR="005E463F" w:rsidRPr="004819C2">
        <w:rPr>
          <w:lang w:val="sk-SK"/>
        </w:rPr>
        <w:t xml:space="preserve"> vývoji</w:t>
      </w:r>
      <w:r w:rsidR="00C96BFB" w:rsidRPr="004819C2">
        <w:rPr>
          <w:lang w:val="sk-SK"/>
        </w:rPr>
        <w:t xml:space="preserve"> vykonávacích a delegovaných aktoch k novému Nariadeniu 2016/2031 o ochrann</w:t>
      </w:r>
      <w:r w:rsidRPr="004819C2">
        <w:rPr>
          <w:lang w:val="sk-SK"/>
        </w:rPr>
        <w:t>ých opatreniach proti</w:t>
      </w:r>
      <w:r w:rsidR="00C96BFB" w:rsidRPr="004819C2">
        <w:rPr>
          <w:lang w:val="sk-SK"/>
        </w:rPr>
        <w:t xml:space="preserve"> škodcom </w:t>
      </w:r>
      <w:r w:rsidRPr="004819C2">
        <w:rPr>
          <w:lang w:val="sk-SK"/>
        </w:rPr>
        <w:t>rastlín by mala Komisia informovať na zajtrajšom rokovaní skupiny CDG.</w:t>
      </w:r>
    </w:p>
    <w:p w:rsidR="002F3BF9" w:rsidRPr="004819C2" w:rsidRDefault="002F3BF9" w:rsidP="002F3BF9">
      <w:pPr>
        <w:ind w:left="180"/>
        <w:jc w:val="both"/>
        <w:rPr>
          <w:b/>
          <w:lang w:val="sk-SK"/>
        </w:rPr>
      </w:pPr>
    </w:p>
    <w:p w:rsidR="002F3BF9" w:rsidRPr="004819C2" w:rsidRDefault="002F3BF9" w:rsidP="002F3BF9">
      <w:pPr>
        <w:ind w:left="180"/>
        <w:jc w:val="both"/>
        <w:rPr>
          <w:b/>
          <w:lang w:val="sk-SK"/>
        </w:rPr>
      </w:pPr>
      <w:r w:rsidRPr="004819C2">
        <w:rPr>
          <w:b/>
          <w:lang w:val="sk-SK"/>
        </w:rPr>
        <w:t>Nutričné označovanie, informácie o najnovšom vý</w:t>
      </w:r>
      <w:r w:rsidR="005E463F" w:rsidRPr="004819C2">
        <w:rPr>
          <w:b/>
          <w:lang w:val="sk-SK"/>
        </w:rPr>
        <w:t>voji projektu čiarového kódu</w:t>
      </w:r>
      <w:r w:rsidRPr="004819C2">
        <w:rPr>
          <w:b/>
          <w:lang w:val="sk-SK"/>
        </w:rPr>
        <w:t xml:space="preserve"> GS1</w:t>
      </w:r>
    </w:p>
    <w:p w:rsidR="002F3BF9" w:rsidRPr="004819C2" w:rsidRDefault="002F3BF9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Sekretariát informoval o možnosti vy</w:t>
      </w:r>
      <w:r w:rsidR="00830251" w:rsidRPr="004819C2">
        <w:rPr>
          <w:lang w:val="sk-SK"/>
        </w:rPr>
        <w:t>užitia projektu GS1 na poskytovanie informácií spotrebiteľom prostredníctvom skenovania čiarových kódov na etiketách fľašiek.  Ak by bol systém uvedený do širšej praxe, treba ustanoviť rozsah dát, ktoré chcú výrobcovia poskytnúť.</w:t>
      </w:r>
      <w:r w:rsidR="00DD43F1" w:rsidRPr="004819C2">
        <w:rPr>
          <w:lang w:val="sk-SK"/>
        </w:rPr>
        <w:t xml:space="preserve"> (Projekt je zatiaľ v pilotnej fáze.)</w:t>
      </w:r>
    </w:p>
    <w:p w:rsidR="00830251" w:rsidRPr="004819C2" w:rsidRDefault="00830251" w:rsidP="002F3BF9">
      <w:pPr>
        <w:ind w:left="180"/>
        <w:jc w:val="both"/>
        <w:rPr>
          <w:lang w:val="sk-SK"/>
        </w:rPr>
      </w:pPr>
      <w:r w:rsidRPr="004819C2">
        <w:rPr>
          <w:u w:val="single"/>
          <w:lang w:val="sk-SK"/>
        </w:rPr>
        <w:t>Diskusia:</w:t>
      </w:r>
      <w:r w:rsidRPr="004819C2">
        <w:rPr>
          <w:lang w:val="sk-SK"/>
        </w:rPr>
        <w:t xml:space="preserve"> </w:t>
      </w:r>
    </w:p>
    <w:p w:rsidR="00DD43F1" w:rsidRPr="004819C2" w:rsidRDefault="00DD43F1" w:rsidP="00DD43F1">
      <w:pPr>
        <w:ind w:left="180"/>
        <w:jc w:val="both"/>
        <w:rPr>
          <w:lang w:val="sk-SK"/>
        </w:rPr>
      </w:pPr>
      <w:r w:rsidRPr="004819C2">
        <w:rPr>
          <w:lang w:val="sk-SK"/>
        </w:rPr>
        <w:t>IT kritizuje iniciatívu sekretariátu, o ktorej vopred členov skupiny neinformovali, poukazujú na problém vlastníctva dát. FR informovalo o svojej skúsenosti s projektom GS1, spolupráca bola hodnotená pozitívne. NL varuje pred používaním viacerých kódov na jednej etikete,  DE a AT sú tiež naklonené k poskytovaniu informácií mimo etikety, PT poukazuje na technické možnosti chytrých telefónov, ktoré umožňujú napr. skenovanie QR kódov, ale nie čiarových kódov.</w:t>
      </w:r>
    </w:p>
    <w:p w:rsidR="00DD43F1" w:rsidRPr="004819C2" w:rsidRDefault="00DD43F1" w:rsidP="00DD43F1">
      <w:pPr>
        <w:ind w:left="180"/>
        <w:jc w:val="both"/>
        <w:rPr>
          <w:lang w:val="sk-SK"/>
        </w:rPr>
      </w:pPr>
    </w:p>
    <w:p w:rsidR="00DD43F1" w:rsidRPr="004819C2" w:rsidRDefault="00DD43F1" w:rsidP="00DD43F1">
      <w:pPr>
        <w:ind w:left="180"/>
        <w:jc w:val="both"/>
        <w:rPr>
          <w:b/>
          <w:lang w:val="sk-SK"/>
        </w:rPr>
      </w:pPr>
      <w:r w:rsidRPr="004819C2">
        <w:rPr>
          <w:b/>
          <w:lang w:val="sk-SK"/>
        </w:rPr>
        <w:t xml:space="preserve">Výroba vína, životné prostredie a klimatické zmeny </w:t>
      </w:r>
    </w:p>
    <w:p w:rsidR="00DD43F1" w:rsidRPr="004819C2" w:rsidRDefault="00DD43F1" w:rsidP="00DD43F1">
      <w:pPr>
        <w:ind w:left="180"/>
        <w:jc w:val="both"/>
        <w:rPr>
          <w:lang w:val="sk-SK"/>
        </w:rPr>
      </w:pPr>
      <w:r w:rsidRPr="004819C2">
        <w:rPr>
          <w:lang w:val="sk-SK"/>
        </w:rPr>
        <w:t>Sekretariát prezentoval všeobecnú stratégiu Copa  Cogeca k zmene klímy, teraz sa pracuje na špecifických príspevkoch jednotlivých skupín. Príspevky je možné zasielať sekretariátu.</w:t>
      </w:r>
    </w:p>
    <w:p w:rsidR="00DD43F1" w:rsidRPr="004819C2" w:rsidRDefault="00DD43F1" w:rsidP="00DD43F1">
      <w:pPr>
        <w:ind w:left="180"/>
        <w:jc w:val="both"/>
        <w:rPr>
          <w:lang w:val="sk-SK"/>
        </w:rPr>
      </w:pPr>
    </w:p>
    <w:p w:rsidR="00DD43F1" w:rsidRPr="004819C2" w:rsidRDefault="00DD43F1" w:rsidP="00DD43F1">
      <w:pPr>
        <w:ind w:left="180"/>
        <w:jc w:val="both"/>
        <w:rPr>
          <w:b/>
          <w:lang w:val="sk-SK"/>
        </w:rPr>
      </w:pPr>
      <w:r w:rsidRPr="004819C2">
        <w:rPr>
          <w:b/>
          <w:lang w:val="sk-SK"/>
        </w:rPr>
        <w:t>Výhľad francúzskeho odvetvia vína s ohľadom na životné prostredie a klimatické zmeny</w:t>
      </w:r>
    </w:p>
    <w:p w:rsidR="0036227F" w:rsidRPr="004819C2" w:rsidRDefault="0036227F" w:rsidP="00DD43F1">
      <w:pPr>
        <w:ind w:left="180"/>
        <w:jc w:val="both"/>
        <w:rPr>
          <w:lang w:val="sk-SK"/>
        </w:rPr>
      </w:pPr>
      <w:r w:rsidRPr="004819C2">
        <w:rPr>
          <w:lang w:val="sk-SK"/>
        </w:rPr>
        <w:t>Zástupcovia FranceAgriMer Jean-Marc Touzard a Francois Bruggi prezentovali dopady klimatických zmien na vinársky sektor vo FR. Tá negatívne dolieha na konkurencieschopnosť tohto dôležitého francúzskeho odvetvia.</w:t>
      </w:r>
    </w:p>
    <w:p w:rsidR="00DD43F1" w:rsidRPr="004819C2" w:rsidRDefault="0036227F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Podľa záverov americkej štúdie nebude kvôli zmenám klímy v roku 2050 až 67%</w:t>
      </w:r>
      <w:r w:rsidR="00EA2D14" w:rsidRPr="004819C2">
        <w:rPr>
          <w:lang w:val="sk-SK"/>
        </w:rPr>
        <w:t xml:space="preserve"> súčasných európskych viníc schopných vyprodukovať kvalitné víno, organizácia FranceAgriMer s týmto záverom nesúhlasí a preto začala analyzovať možné scenáre ďalšieho vývoja ako sa otepľovaniu planéty prispôsobovať. Podľa nich je nutná adaptácia na 6 úrovnia</w:t>
      </w:r>
      <w:r w:rsidR="005E463F" w:rsidRPr="004819C2">
        <w:rPr>
          <w:lang w:val="sk-SK"/>
        </w:rPr>
        <w:t>ch: prostredníctvom nových odrôd</w:t>
      </w:r>
      <w:r w:rsidR="00EA2D14" w:rsidRPr="004819C2">
        <w:rPr>
          <w:lang w:val="sk-SK"/>
        </w:rPr>
        <w:t xml:space="preserve"> révy, ktoré sú rezistentné voči suchu a vysokým teplotám, prispôsobením nových vinárskych postupov, použitím moderných ekologických technológií, zmenou umiestnenia viníc, zmenami na inštitucionálnych úrovniach a spoločným zdieľaním znalostí so spotrebiteľom a verejnosťou. </w:t>
      </w:r>
    </w:p>
    <w:p w:rsidR="00EA2D14" w:rsidRPr="004819C2" w:rsidRDefault="00EA2D14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Všetky adaptačné nástroje sú k dispozícii, vo FR sa už diskusie s vinármi, vedeckými pracovníkmi a expertmi začali v roku 2017, podobná stratégia by sa žiadala aj na úrovni EÚ.</w:t>
      </w:r>
    </w:p>
    <w:p w:rsidR="009F00DC" w:rsidRPr="004819C2" w:rsidRDefault="009F00DC" w:rsidP="002F3BF9">
      <w:pPr>
        <w:ind w:left="180"/>
        <w:jc w:val="both"/>
        <w:rPr>
          <w:lang w:val="sk-SK"/>
        </w:rPr>
      </w:pPr>
      <w:r w:rsidRPr="004819C2">
        <w:rPr>
          <w:u w:val="single"/>
          <w:lang w:val="sk-SK"/>
        </w:rPr>
        <w:t>Diskusia:</w:t>
      </w:r>
      <w:r w:rsidRPr="004819C2">
        <w:rPr>
          <w:lang w:val="sk-SK"/>
        </w:rPr>
        <w:t xml:space="preserve"> </w:t>
      </w:r>
    </w:p>
    <w:p w:rsidR="009F00DC" w:rsidRPr="004819C2" w:rsidRDefault="009F00DC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IT informovala o svojom vlastnom národnom pláne, ale neuvažovali o variante zmeny umiestnenia viníc a kritizujú rozhodnutie o metódach mutagenézy ako GMO. ES upozorňuje na nutnosť zmeny komunikácie smerom k verejnosti, treba začať komunikovať pozitívny prínos viníc a vinárstva do spoločnosti a FR upozorňuje, že vzhľadom na to</w:t>
      </w:r>
      <w:r w:rsidR="005E463F" w:rsidRPr="004819C2">
        <w:rPr>
          <w:lang w:val="sk-SK"/>
        </w:rPr>
        <w:t>,</w:t>
      </w:r>
      <w:r w:rsidRPr="004819C2">
        <w:rPr>
          <w:lang w:val="sk-SK"/>
        </w:rPr>
        <w:t xml:space="preserve"> že podmienky v jednotlivých štátoch/regiónoch sa líšia, je potreba flexibilného prístupu k možným nástrojom.</w:t>
      </w:r>
    </w:p>
    <w:p w:rsidR="009F00DC" w:rsidRPr="004819C2" w:rsidRDefault="009F00DC" w:rsidP="002F3BF9">
      <w:pPr>
        <w:ind w:left="180"/>
        <w:jc w:val="both"/>
        <w:rPr>
          <w:lang w:val="sk-SK"/>
        </w:rPr>
      </w:pPr>
    </w:p>
    <w:p w:rsidR="005E463F" w:rsidRPr="004819C2" w:rsidRDefault="005E463F" w:rsidP="002F3BF9">
      <w:pPr>
        <w:ind w:left="180"/>
        <w:jc w:val="both"/>
        <w:rPr>
          <w:b/>
          <w:lang w:val="sk-SK"/>
        </w:rPr>
      </w:pPr>
    </w:p>
    <w:p w:rsidR="005E463F" w:rsidRPr="004819C2" w:rsidRDefault="005E463F" w:rsidP="002F3BF9">
      <w:pPr>
        <w:ind w:left="180"/>
        <w:jc w:val="both"/>
        <w:rPr>
          <w:b/>
          <w:lang w:val="sk-SK"/>
        </w:rPr>
      </w:pPr>
    </w:p>
    <w:p w:rsidR="005E463F" w:rsidRPr="004819C2" w:rsidRDefault="005E463F" w:rsidP="002F3BF9">
      <w:pPr>
        <w:ind w:left="180"/>
        <w:jc w:val="both"/>
        <w:rPr>
          <w:b/>
          <w:lang w:val="sk-SK"/>
        </w:rPr>
      </w:pPr>
    </w:p>
    <w:p w:rsidR="009F00DC" w:rsidRPr="004819C2" w:rsidRDefault="009F00DC" w:rsidP="002F3BF9">
      <w:pPr>
        <w:ind w:left="180"/>
        <w:jc w:val="both"/>
        <w:rPr>
          <w:b/>
          <w:lang w:val="sk-SK"/>
        </w:rPr>
      </w:pPr>
      <w:r w:rsidRPr="004819C2">
        <w:rPr>
          <w:b/>
          <w:lang w:val="sk-SK"/>
        </w:rPr>
        <w:lastRenderedPageBreak/>
        <w:t>Revízia smernice o spotrebných daniach a ustanoveniach o predaji na diaľku (Clara Behr, CEVI)</w:t>
      </w:r>
    </w:p>
    <w:p w:rsidR="009F00DC" w:rsidRPr="004819C2" w:rsidRDefault="009F00DC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Súčasný systém DPH pri obchodovaní s tovarom medzi podnikmi je komplikovaný, predstavuje dodatočné náklady a</w:t>
      </w:r>
      <w:r w:rsidR="005E463F" w:rsidRPr="004819C2">
        <w:rPr>
          <w:lang w:val="sk-SK"/>
        </w:rPr>
        <w:t>j</w:t>
      </w:r>
      <w:r w:rsidRPr="004819C2">
        <w:rPr>
          <w:lang w:val="sk-SK"/>
        </w:rPr>
        <w:t xml:space="preserve"> administratívnu záťaž. Kvôli zjednodušeniu tohto systému sa Kom</w:t>
      </w:r>
      <w:r w:rsidR="00977ADE" w:rsidRPr="004819C2">
        <w:rPr>
          <w:lang w:val="sk-SK"/>
        </w:rPr>
        <w:t>i</w:t>
      </w:r>
      <w:r w:rsidRPr="004819C2">
        <w:rPr>
          <w:lang w:val="sk-SK"/>
        </w:rPr>
        <w:t xml:space="preserve">sia </w:t>
      </w:r>
      <w:r w:rsidR="00977ADE" w:rsidRPr="004819C2">
        <w:rPr>
          <w:lang w:val="sk-SK"/>
        </w:rPr>
        <w:t>r</w:t>
      </w:r>
      <w:r w:rsidR="007B06D7" w:rsidRPr="004819C2">
        <w:rPr>
          <w:lang w:val="sk-SK"/>
        </w:rPr>
        <w:t>ozhodla r</w:t>
      </w:r>
      <w:r w:rsidR="00977ADE" w:rsidRPr="004819C2">
        <w:rPr>
          <w:lang w:val="sk-SK"/>
        </w:rPr>
        <w:t>evidovať smernicu o DPH, okrem iného navrhuje zriadenie jednotného online portálu (one-stop shop) pre obchodníkov. Tento portál by mal slúžiť ako jednotné kontaktné miesto pre všetkých obchodníkov v EÚ, ktorí prevádzajú svoje transakcie v režime business-to-business (B2B), ale aj pre podniky mimo EÚ, ktoré budú chcieť predávať tovar podnikom v E</w:t>
      </w:r>
      <w:r w:rsidR="007B06D7" w:rsidRPr="004819C2">
        <w:rPr>
          <w:lang w:val="sk-SK"/>
        </w:rPr>
        <w:t>Ú a ktoré</w:t>
      </w:r>
      <w:r w:rsidR="00977ADE" w:rsidRPr="004819C2">
        <w:rPr>
          <w:lang w:val="sk-SK"/>
        </w:rPr>
        <w:t xml:space="preserve"> by sa inak museli zaregistrovať kvôli DPH v každom členskom štáte.</w:t>
      </w:r>
    </w:p>
    <w:p w:rsidR="00977ADE" w:rsidRPr="004819C2" w:rsidRDefault="00977ADE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CEVI všeobecne s myšlienkou jednotného portálu súhlasí, navrhuje však aj alternatívne riešenie pre B2B v podobe jednotnej webstránky na webe Komisie, kde by boli zrozumiteľne prístupné všetky národné požiadavky. Pre B2C (business-to-consumer) pri predaji na diaľku navrhuje CEVI oslobodenie od spotrebnej dane</w:t>
      </w:r>
      <w:r w:rsidR="005E463F" w:rsidRPr="004819C2">
        <w:rPr>
          <w:lang w:val="sk-SK"/>
        </w:rPr>
        <w:t xml:space="preserve"> v zemi určenia pre podniky s ročným obratom menej než 20 000 eur.</w:t>
      </w:r>
    </w:p>
    <w:p w:rsidR="005E463F" w:rsidRPr="004819C2" w:rsidRDefault="005E463F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Skupina vyjadrila návrhom CEVI podporu.</w:t>
      </w:r>
    </w:p>
    <w:p w:rsidR="005E463F" w:rsidRPr="004819C2" w:rsidRDefault="005E463F" w:rsidP="002F3BF9">
      <w:pPr>
        <w:ind w:left="180"/>
        <w:jc w:val="both"/>
        <w:rPr>
          <w:lang w:val="sk-SK"/>
        </w:rPr>
      </w:pPr>
    </w:p>
    <w:p w:rsidR="005E463F" w:rsidRPr="004819C2" w:rsidRDefault="005E463F" w:rsidP="002F3BF9">
      <w:pPr>
        <w:ind w:left="180"/>
        <w:jc w:val="both"/>
        <w:rPr>
          <w:b/>
          <w:lang w:val="sk-SK"/>
        </w:rPr>
      </w:pPr>
      <w:r w:rsidRPr="004819C2">
        <w:rPr>
          <w:b/>
          <w:lang w:val="sk-SK"/>
        </w:rPr>
        <w:t>Príprava na rokovanie skupiny CDG</w:t>
      </w:r>
    </w:p>
    <w:p w:rsidR="005E463F" w:rsidRPr="004819C2" w:rsidRDefault="005E463F" w:rsidP="002F3BF9">
      <w:pPr>
        <w:ind w:left="180"/>
        <w:jc w:val="both"/>
        <w:rPr>
          <w:lang w:val="sk-SK"/>
        </w:rPr>
      </w:pPr>
      <w:r w:rsidRPr="004819C2">
        <w:rPr>
          <w:lang w:val="sk-SK"/>
        </w:rPr>
        <w:t>IT požaduje zaradiť do programu nedávne rozhodnutie Indonézie pozastaviť import vína z EÚ, čo má byť recipročným opatrením k problematike palmového oleja.</w:t>
      </w:r>
    </w:p>
    <w:sectPr w:rsidR="005E463F" w:rsidRPr="004819C2" w:rsidSect="003775D5">
      <w:headerReference w:type="default" r:id="rId6"/>
      <w:footerReference w:type="default" r:id="rId7"/>
      <w:pgSz w:w="11906" w:h="16838"/>
      <w:pgMar w:top="1417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9A" w:rsidRDefault="0037039A">
      <w:r>
        <w:separator/>
      </w:r>
    </w:p>
  </w:endnote>
  <w:endnote w:type="continuationSeparator" w:id="0">
    <w:p w:rsidR="0037039A" w:rsidRDefault="0037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3925"/>
      <w:gridCol w:w="5435"/>
    </w:tblGrid>
    <w:tr w:rsidR="00511FBC" w:rsidRPr="00715CC6">
      <w:trPr>
        <w:trHeight w:val="100"/>
      </w:trPr>
      <w:tc>
        <w:tcPr>
          <w:tcW w:w="0" w:type="auto"/>
          <w:shd w:val="clear" w:color="auto" w:fill="28659C"/>
          <w:tcMar>
            <w:top w:w="0" w:type="dxa"/>
            <w:left w:w="115" w:type="dxa"/>
            <w:bottom w:w="0" w:type="dxa"/>
            <w:right w:w="115" w:type="dxa"/>
          </w:tcMar>
        </w:tcPr>
        <w:p w:rsidR="00511FBC" w:rsidRPr="00715CC6" w:rsidRDefault="00511FBC" w:rsidP="0088191A">
          <w:pPr>
            <w:rPr>
              <w:sz w:val="10"/>
            </w:rPr>
          </w:pPr>
        </w:p>
      </w:tc>
      <w:tc>
        <w:tcPr>
          <w:tcW w:w="0" w:type="auto"/>
          <w:shd w:val="clear" w:color="auto" w:fill="28659C"/>
          <w:tcMar>
            <w:top w:w="0" w:type="dxa"/>
            <w:left w:w="115" w:type="dxa"/>
            <w:bottom w:w="0" w:type="dxa"/>
            <w:right w:w="115" w:type="dxa"/>
          </w:tcMar>
        </w:tcPr>
        <w:p w:rsidR="00511FBC" w:rsidRPr="00715CC6" w:rsidRDefault="00511FBC" w:rsidP="0088191A">
          <w:pPr>
            <w:rPr>
              <w:sz w:val="10"/>
            </w:rPr>
          </w:pPr>
        </w:p>
      </w:tc>
    </w:tr>
    <w:tr w:rsidR="00511FBC" w:rsidRPr="00715CC6">
      <w:tc>
        <w:tcPr>
          <w:tcW w:w="0" w:type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511FBC" w:rsidRPr="00715CC6" w:rsidRDefault="00511FBC" w:rsidP="0088191A">
          <w:pPr>
            <w:pStyle w:val="Normlnywebov"/>
            <w:spacing w:before="0" w:beforeAutospacing="0" w:after="0" w:afterAutospacing="0"/>
          </w:pPr>
          <w:r w:rsidRPr="00715CC6">
            <w:rPr>
              <w:smallCaps/>
              <w:color w:val="808080"/>
              <w:sz w:val="18"/>
              <w:szCs w:val="18"/>
            </w:rPr>
            <w:t xml:space="preserve">EMAIL: </w:t>
          </w:r>
          <w:hyperlink r:id="rId1" w:history="1">
            <w:r w:rsidRPr="00715CC6">
              <w:rPr>
                <w:rStyle w:val="Hypertextovprepojenie"/>
                <w:smallCaps/>
                <w:color w:val="0563C1"/>
                <w:sz w:val="18"/>
                <w:szCs w:val="18"/>
              </w:rPr>
              <w:t>PD@CROSSEUROPE-CONSULTING.COM</w:t>
            </w:r>
          </w:hyperlink>
        </w:p>
        <w:p w:rsidR="00511FBC" w:rsidRPr="00715CC6" w:rsidRDefault="00511FBC" w:rsidP="0088191A">
          <w:pPr>
            <w:pStyle w:val="Normlnywebov"/>
            <w:spacing w:before="0" w:beforeAutospacing="0" w:after="0" w:afterAutospacing="0" w:line="0" w:lineRule="atLeast"/>
          </w:pPr>
          <w:r w:rsidRPr="00715CC6">
            <w:rPr>
              <w:smallCaps/>
              <w:color w:val="808080"/>
              <w:sz w:val="18"/>
              <w:szCs w:val="18"/>
            </w:rPr>
            <w:t>TEL: 00420 608 128 444</w:t>
          </w:r>
        </w:p>
      </w:tc>
      <w:tc>
        <w:tcPr>
          <w:tcW w:w="0" w:type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511FBC" w:rsidRPr="00715CC6" w:rsidRDefault="00511FBC" w:rsidP="0088191A">
          <w:pPr>
            <w:pStyle w:val="Normlnywebov"/>
            <w:spacing w:before="0" w:beforeAutospacing="0" w:after="0" w:afterAutospacing="0" w:line="0" w:lineRule="atLeast"/>
            <w:jc w:val="right"/>
            <w:rPr>
              <w:color w:val="000000"/>
            </w:rPr>
          </w:pPr>
        </w:p>
        <w:p w:rsidR="00511FBC" w:rsidRPr="00715CC6" w:rsidRDefault="00511FBC" w:rsidP="0088191A">
          <w:pPr>
            <w:pStyle w:val="Normlnywebov"/>
            <w:spacing w:before="0" w:beforeAutospacing="0" w:after="0" w:afterAutospacing="0" w:line="0" w:lineRule="atLeast"/>
            <w:jc w:val="right"/>
          </w:pPr>
          <w:r w:rsidRPr="00715CC6">
            <w:rPr>
              <w:color w:val="000000"/>
            </w:rPr>
            <w:t xml:space="preserve">                                                                 </w:t>
          </w:r>
          <w:r w:rsidR="004819C2" w:rsidRPr="00715CC6">
            <w:rPr>
              <w:noProof/>
              <w:color w:val="000000"/>
            </w:rPr>
            <w:drawing>
              <wp:inline distT="0" distB="0" distL="0" distR="0">
                <wp:extent cx="1149350" cy="304800"/>
                <wp:effectExtent l="0" t="0" r="0" b="0"/>
                <wp:docPr id="1" name="Obrázok 1" descr="dpS1TRZtNnDBdPcCbVz3QA2tRZsYNwDG-oi0P3Y1w5hV-lH-bSOrHQE3k84G7iVoL23mQZX3IcVEfSnMG7zcybmFpqMxCJL-I3IEhsZSRo12SJsZBQW0kJqMCkQDZ21vwWoEEO-X1b5rxnEl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S1TRZtNnDBdPcCbVz3QA2tRZsYNwDG-oi0P3Y1w5hV-lH-bSOrHQE3k84G7iVoL23mQZX3IcVEfSnMG7zcybmFpqMxCJL-I3IEhsZSRo12SJsZBQW0kJqMCkQDZ21vwWoEEO-X1b5rxnElh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1FBC" w:rsidRDefault="00511F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9A" w:rsidRDefault="0037039A">
      <w:r>
        <w:separator/>
      </w:r>
    </w:p>
  </w:footnote>
  <w:footnote w:type="continuationSeparator" w:id="0">
    <w:p w:rsidR="0037039A" w:rsidRDefault="0037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BC" w:rsidRPr="004819C2" w:rsidRDefault="00511FBC" w:rsidP="0088191A">
    <w:pPr>
      <w:pStyle w:val="Normlnywebov"/>
      <w:spacing w:before="0" w:beforeAutospacing="0" w:after="0" w:afterAutospacing="0"/>
      <w:jc w:val="center"/>
      <w:rPr>
        <w:b/>
        <w:bCs/>
        <w:color w:val="000000"/>
        <w:sz w:val="40"/>
        <w:szCs w:val="40"/>
        <w:lang w:val="sk-SK"/>
      </w:rPr>
    </w:pPr>
    <w:r w:rsidRPr="004819C2">
      <w:rPr>
        <w:b/>
        <w:bCs/>
        <w:color w:val="000000"/>
        <w:sz w:val="40"/>
        <w:szCs w:val="40"/>
        <w:lang w:val="sk-SK"/>
      </w:rPr>
      <w:t>Správa zo zasadnutia Copa Cogeca</w:t>
    </w:r>
  </w:p>
  <w:p w:rsidR="00511FBC" w:rsidRPr="00715CC6" w:rsidRDefault="00511FBC" w:rsidP="0088191A">
    <w:pPr>
      <w:pStyle w:val="Normlnywebov"/>
      <w:spacing w:before="0" w:beforeAutospacing="0" w:after="0" w:afterAutospacing="0"/>
    </w:pPr>
    <w:r w:rsidRPr="00715CC6">
      <w:rPr>
        <w:rStyle w:val="apple-tab-span"/>
        <w:color w:val="000000"/>
        <w:sz w:val="22"/>
        <w:szCs w:val="22"/>
      </w:rPr>
      <w:tab/>
    </w:r>
    <w:r w:rsidRPr="00715CC6">
      <w:rPr>
        <w:rStyle w:val="apple-tab-span"/>
        <w:color w:val="000000"/>
        <w:sz w:val="22"/>
        <w:szCs w:val="22"/>
      </w:rPr>
      <w:tab/>
    </w:r>
  </w:p>
  <w:tbl>
    <w:tblPr>
      <w:tblpPr w:leftFromText="141" w:rightFromText="141" w:vertAnchor="text" w:horzAnchor="page" w:tblpX="1843" w:tblpY="22"/>
      <w:tblW w:w="0" w:type="auto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236"/>
      <w:gridCol w:w="7965"/>
    </w:tblGrid>
    <w:tr w:rsidR="00511FBC" w:rsidRPr="00715CC6">
      <w:trPr>
        <w:trHeight w:val="100"/>
      </w:trPr>
      <w:tc>
        <w:tcPr>
          <w:tcW w:w="0" w:type="auto"/>
          <w:shd w:val="clear" w:color="auto" w:fill="265F92"/>
          <w:tcMar>
            <w:top w:w="0" w:type="dxa"/>
            <w:left w:w="115" w:type="dxa"/>
            <w:bottom w:w="0" w:type="dxa"/>
            <w:right w:w="115" w:type="dxa"/>
          </w:tcMar>
        </w:tcPr>
        <w:p w:rsidR="00511FBC" w:rsidRPr="00715CC6" w:rsidRDefault="00511FBC" w:rsidP="0088191A">
          <w:pPr>
            <w:rPr>
              <w:sz w:val="10"/>
            </w:rPr>
          </w:pPr>
          <w:r w:rsidRPr="00715CC6">
            <w:rPr>
              <w:sz w:val="10"/>
            </w:rPr>
            <w:t xml:space="preserve"> </w:t>
          </w:r>
        </w:p>
        <w:p w:rsidR="00511FBC" w:rsidRPr="00715CC6" w:rsidRDefault="00511FBC" w:rsidP="0088191A">
          <w:pPr>
            <w:rPr>
              <w:sz w:val="10"/>
            </w:rPr>
          </w:pPr>
        </w:p>
      </w:tc>
      <w:tc>
        <w:tcPr>
          <w:tcW w:w="7965" w:type="dxa"/>
          <w:shd w:val="clear" w:color="auto" w:fill="265F92"/>
          <w:tcMar>
            <w:top w:w="0" w:type="dxa"/>
            <w:left w:w="115" w:type="dxa"/>
            <w:bottom w:w="0" w:type="dxa"/>
            <w:right w:w="115" w:type="dxa"/>
          </w:tcMar>
        </w:tcPr>
        <w:p w:rsidR="00511FBC" w:rsidRPr="00715CC6" w:rsidRDefault="00511FBC" w:rsidP="0088191A">
          <w:pPr>
            <w:rPr>
              <w:sz w:val="10"/>
            </w:rPr>
          </w:pPr>
        </w:p>
      </w:tc>
    </w:tr>
  </w:tbl>
  <w:p w:rsidR="00511FBC" w:rsidRDefault="00511F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2"/>
    <w:rsid w:val="000A3BFD"/>
    <w:rsid w:val="000B27FC"/>
    <w:rsid w:val="001A77F2"/>
    <w:rsid w:val="001C6A92"/>
    <w:rsid w:val="002F3BF9"/>
    <w:rsid w:val="0036227F"/>
    <w:rsid w:val="0037039A"/>
    <w:rsid w:val="003775D5"/>
    <w:rsid w:val="004819C2"/>
    <w:rsid w:val="004B68A8"/>
    <w:rsid w:val="00511FBC"/>
    <w:rsid w:val="005206D3"/>
    <w:rsid w:val="005D4890"/>
    <w:rsid w:val="005E463F"/>
    <w:rsid w:val="007B06D7"/>
    <w:rsid w:val="00830251"/>
    <w:rsid w:val="0088191A"/>
    <w:rsid w:val="008F14F1"/>
    <w:rsid w:val="00977ADE"/>
    <w:rsid w:val="009F00DC"/>
    <w:rsid w:val="00A2417F"/>
    <w:rsid w:val="00AA2D65"/>
    <w:rsid w:val="00C904BF"/>
    <w:rsid w:val="00C96BFB"/>
    <w:rsid w:val="00D33DF4"/>
    <w:rsid w:val="00D720FD"/>
    <w:rsid w:val="00DD43F1"/>
    <w:rsid w:val="00DF5217"/>
    <w:rsid w:val="00E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2C33-E986-4693-92AA-F09F8AE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A77F2"/>
    <w:rPr>
      <w:sz w:val="24"/>
      <w:szCs w:val="24"/>
      <w:lang w:val="hu-HU" w:eastAsia="hu-HU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1A77F2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1A77F2"/>
    <w:rPr>
      <w:color w:val="0000FF"/>
      <w:u w:val="single"/>
    </w:rPr>
  </w:style>
  <w:style w:type="character" w:customStyle="1" w:styleId="apple-tab-span">
    <w:name w:val="apple-tab-span"/>
    <w:basedOn w:val="Predvolenpsmoodseku"/>
    <w:rsid w:val="001A77F2"/>
  </w:style>
  <w:style w:type="paragraph" w:styleId="Hlavika">
    <w:name w:val="header"/>
    <w:basedOn w:val="Normlny"/>
    <w:rsid w:val="001A77F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A77F2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8F14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5E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@crosseurope-consulting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Pracovná skupina pre víno,  6</vt:lpstr>
      <vt:lpstr>Pracovná skupina pre víno,  6</vt:lpstr>
    </vt:vector>
  </TitlesOfParts>
  <Company/>
  <LinksUpToDate>false</LinksUpToDate>
  <CharactersWithSpaces>6614</CharactersWithSpaces>
  <SharedDoc>false</SharedDoc>
  <HLinks>
    <vt:vector size="6" baseType="variant">
      <vt:variant>
        <vt:i4>6881293</vt:i4>
      </vt:variant>
      <vt:variant>
        <vt:i4>0</vt:i4>
      </vt:variant>
      <vt:variant>
        <vt:i4>0</vt:i4>
      </vt:variant>
      <vt:variant>
        <vt:i4>5</vt:i4>
      </vt:variant>
      <vt:variant>
        <vt:lpwstr>mailto:pd@crosseurope-consulting.com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Pracovná skupina pre víno,  6</dc:title>
  <dc:subject/>
  <dc:creator>Bea</dc:creator>
  <cp:keywords/>
  <dc:description/>
  <cp:lastModifiedBy>sppk sppk</cp:lastModifiedBy>
  <cp:revision>2</cp:revision>
  <cp:lastPrinted>2019-05-20T10:17:00Z</cp:lastPrinted>
  <dcterms:created xsi:type="dcterms:W3CDTF">2019-05-23T06:17:00Z</dcterms:created>
  <dcterms:modified xsi:type="dcterms:W3CDTF">2019-05-23T06:17:00Z</dcterms:modified>
</cp:coreProperties>
</file>